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4A2FB" w14:textId="77777777" w:rsidR="0021486E" w:rsidRDefault="0021486E" w:rsidP="0021486E">
      <w:pPr>
        <w:pStyle w:val="a3"/>
        <w:jc w:val="center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ОТВЕТСТВЕННОСТЬ ЗА НАРУШЕНИЕ ОБЕСПЕЧЕНИЯ БЕЗБАРЬЕРНОЙ СРЕДЫ ДЛЯ ИНВАЛИДОВ.</w:t>
      </w:r>
    </w:p>
    <w:p w14:paraId="684D41BC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Федеральным законом от 03.05.2012 № 46-ФЗ «О ратификации Конвенции о правах инвалидов» в Российской Федерации ратифицирована Конвенция ООН о правах инвалидов, которая подлежит обязательному применению. Конвенцией инвалиды наделены возможностью вести независимый образ жизни и всесторонне участвовать во всех аспектах жизни. С момента ратификации Российская Федерация обязана принять надлежащие меры для обеспечения инвалидам доступа наравне с другими к физическому окружению, к транспорту, а также к другим объектам и услугам, открытым или предоставляемым для населения.</w:t>
      </w:r>
    </w:p>
    <w:p w14:paraId="76DFBF3B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 xml:space="preserve">Приоритеты формирования Доступной среды определены статьей 15 Федерального </w:t>
      </w:r>
      <w:proofErr w:type="gramStart"/>
      <w:r>
        <w:rPr>
          <w:rFonts w:ascii="Arial" w:hAnsi="Arial" w:cs="Arial"/>
          <w:color w:val="2A2C32"/>
          <w:spacing w:val="3"/>
        </w:rPr>
        <w:t>закона  от</w:t>
      </w:r>
      <w:proofErr w:type="gramEnd"/>
      <w:r>
        <w:rPr>
          <w:rFonts w:ascii="Arial" w:hAnsi="Arial" w:cs="Arial"/>
          <w:color w:val="2A2C32"/>
          <w:spacing w:val="3"/>
        </w:rPr>
        <w:t xml:space="preserve"> 24.11.1995  № 181-ФЗ «О социальной защите инвалидов в Российской Федерации», государственной программой Российской Федерации «Доступная среда» на 2011-2020 годы, утвержденной постановлением Правительства Российской Федерации  от 01.12.2015 № 1297.</w:t>
      </w:r>
    </w:p>
    <w:p w14:paraId="00B836E5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 xml:space="preserve">Доступная среда </w:t>
      </w:r>
      <w:proofErr w:type="gramStart"/>
      <w:r>
        <w:rPr>
          <w:rFonts w:ascii="Arial" w:hAnsi="Arial" w:cs="Arial"/>
          <w:color w:val="2A2C32"/>
          <w:spacing w:val="3"/>
        </w:rPr>
        <w:t>- это физическое окружение</w:t>
      </w:r>
      <w:proofErr w:type="gramEnd"/>
      <w:r>
        <w:rPr>
          <w:rFonts w:ascii="Arial" w:hAnsi="Arial" w:cs="Arial"/>
          <w:color w:val="2A2C32"/>
          <w:spacing w:val="3"/>
        </w:rPr>
        <w:t>, объекты транспорта, информации и связи, дооборудованные с целью устранения препятствий и барьеров, возникающих у индивида или группы людей с учетом их особых потребностей.</w:t>
      </w:r>
    </w:p>
    <w:p w14:paraId="361E976E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Формирование доступной среды – это устранение препятствий и барьеров в обеспечении беспрепятственного доступа к физическому окружению: зданиям и сооружениям, окружающим человека в повседневной жизни, транспорту, информации и связи, а также услугам, предоставляемым населению.</w:t>
      </w:r>
    </w:p>
    <w:p w14:paraId="4EA41F31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Статьей 15 того же закона определено, что Правительство Российской Федерации, органы исполнительной власти субъектов Российской Федерации, органы местного самоуправления и организации независимо от организационно-правовых форм обязаны создать условия инвалидам для беспрепятственного доступа к объектам социальной инфраструктуры. Данное положение законодательства подтверждается судебной практикой.</w:t>
      </w:r>
    </w:p>
    <w:p w14:paraId="094D8401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Согласно определению Конституционного Суда Российской Федерации от 13.05.2010 № 689, вытекающая из норм федерального законодательства публичная обязанность по обеспечению доступности зданий и сооружений для инвалидов и других групп населения с ограниченными возможностями передвижения возлагается, в частности, на собственников зданий и сооружений.</w:t>
      </w:r>
    </w:p>
    <w:p w14:paraId="7DCDCEBC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 xml:space="preserve">Юридические и должностные лица за уклонение от исполнения предусмотренных статьей 16 Федерального закона от 24.11.1995  № 181-ФЗ «О социальной защите инвалидов в Российской Федерации», другими федеральными законами и иными нормативными правовыми актами требований к созданию условий инвалидам для беспрепятственного доступа к объектам инженерной, транспортной и социальной инфраструктур, а также для беспрепятственного пользования железнодорожным, воздушным, водным, междугородным автомобильным транспортом и всеми видами городского и пригородного пассажирского транспорта, средствами связи и информации, </w:t>
      </w:r>
      <w:r>
        <w:rPr>
          <w:rFonts w:ascii="Arial" w:hAnsi="Arial" w:cs="Arial"/>
          <w:color w:val="2A2C32"/>
          <w:spacing w:val="3"/>
        </w:rPr>
        <w:lastRenderedPageBreak/>
        <w:t>несут административную ответственность в соответствии с законодательством Российской Федерации.</w:t>
      </w:r>
    </w:p>
    <w:p w14:paraId="5B810139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Кодексом Российской Федерации об административных правонарушениях предусмотрена ответственность:</w:t>
      </w:r>
    </w:p>
    <w:p w14:paraId="7F18DC84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статья 5.43 нарушение требований законодательства, предусматривающих выделение на автомобильных стоянках (остановках) мест для специальных автотранспортных средств инвалидов, влечет наложение административного штрафа на должностных лиц в размере от 3 000 до 5 000 рублей; на юридических лиц - от 30 000 до 50 000 рублей;</w:t>
      </w:r>
    </w:p>
    <w:p w14:paraId="77D0BAF9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статья 9.13 уклонение от исполнения требований к обеспечению условий для доступа инвалидов к объектам инженерной, транспортной и социальной инфраструктур, влечет наложение административного штрафа на должностных лиц в размере от 2000 до 3000 рублей; на юридических лиц - от 20 000 до тридцати 30 000 рублей.</w:t>
      </w:r>
    </w:p>
    <w:p w14:paraId="1DA1C896" w14:textId="77777777" w:rsidR="0021486E" w:rsidRDefault="0021486E" w:rsidP="0021486E">
      <w:pPr>
        <w:pStyle w:val="a3"/>
        <w:spacing w:before="0" w:after="0"/>
        <w:rPr>
          <w:rFonts w:ascii="Arial" w:hAnsi="Arial" w:cs="Arial"/>
          <w:color w:val="2A2C32"/>
          <w:spacing w:val="3"/>
        </w:rPr>
      </w:pPr>
    </w:p>
    <w:p w14:paraId="6298EC25" w14:textId="77777777" w:rsidR="0021486E" w:rsidRDefault="0021486E" w:rsidP="0021486E">
      <w:pPr>
        <w:pStyle w:val="a3"/>
        <w:spacing w:before="0" w:after="0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Что необходимо учесть</w:t>
      </w:r>
      <w:r>
        <w:rPr>
          <w:rFonts w:ascii="Arial" w:hAnsi="Arial" w:cs="Arial"/>
          <w:color w:val="2A2C32"/>
          <w:spacing w:val="3"/>
        </w:rPr>
        <w:br/>
        <w:t>при создании условий доступной среды?</w:t>
      </w:r>
    </w:p>
    <w:p w14:paraId="1FA8367D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Место для парковки автомобиля.</w:t>
      </w:r>
    </w:p>
    <w:p w14:paraId="133F143B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В соответствии с Федеральным законом «О социальной защите инвалидов в Российской Федерации» руководство должны обеспечить удобную парковку людям с инвалидностью и оснастить парковку:</w:t>
      </w:r>
    </w:p>
    <w:p w14:paraId="75F7E576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1. Парковочными местами для людей с инвалидностью, как можно ближе к входу в помещение. Данное парковочное место по ширине не должно быть меньше 3,5 метров, так как необходимо учесть место для пересадки человека на инвалидную коляску (Рис.1).</w:t>
      </w:r>
    </w:p>
    <w:p w14:paraId="422ACB64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2. Знаки, которыми требуется обозначить парковочные места для людей с инвалидностью (Рис. 2). Данные места не может занимать никто, кроме человека с инвалидностью.</w:t>
      </w:r>
    </w:p>
    <w:p w14:paraId="7EC987FA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3. Тактильные знаки, указывающие направление движения и повороты. Данные знаки размещаются в коридорах и на пути движения. (Рис. 3)</w:t>
      </w:r>
    </w:p>
    <w:p w14:paraId="14727B0F" w14:textId="0B38B091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4. Кнопка вызова помощи (Рис. 4)</w:t>
      </w:r>
    </w:p>
    <w:p w14:paraId="18DA5038" w14:textId="2E461FBE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noProof/>
        </w:rPr>
        <w:lastRenderedPageBreak/>
        <w:drawing>
          <wp:inline distT="0" distB="0" distL="0" distR="0" wp14:anchorId="061B16C8" wp14:editId="11CADB27">
            <wp:extent cx="5940425" cy="274383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4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C74D1" w14:textId="515A69FD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</w:p>
    <w:p w14:paraId="0A027AE2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Оборудование санузла.</w:t>
      </w:r>
    </w:p>
    <w:p w14:paraId="1C30ECA5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Главное, что отличает кабины для людей</w:t>
      </w:r>
      <w:proofErr w:type="gramStart"/>
      <w:r>
        <w:rPr>
          <w:rFonts w:ascii="Arial" w:hAnsi="Arial" w:cs="Arial"/>
          <w:color w:val="2A2C32"/>
          <w:spacing w:val="3"/>
        </w:rPr>
        <w:t>-это</w:t>
      </w:r>
      <w:proofErr w:type="gramEnd"/>
      <w:r>
        <w:rPr>
          <w:rFonts w:ascii="Arial" w:hAnsi="Arial" w:cs="Arial"/>
          <w:color w:val="2A2C32"/>
          <w:spacing w:val="3"/>
        </w:rPr>
        <w:t xml:space="preserve"> размер. Такие кабины достаточно большие, чтобы человек везде мог беспрепятственно проехать и развернуться на инвалидной коляске. В кабинах для людей с инвалидностью в кабинах все устанавливаются дверь, открывающуюся наружу. Для удобства пересаживания человека с инвалидностью на унитаз и обратно в коляску устанавливаются поручни.</w:t>
      </w:r>
    </w:p>
    <w:p w14:paraId="1BF346CB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Важно следить за тем, чтобы на полу не скапливалась вода, так как это ведет к возможным падениям и травматизму.</w:t>
      </w:r>
    </w:p>
    <w:p w14:paraId="5EEF8CD8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Рядом с унитазом или возле двери должна быть предусмотрена кнопка звонка на высоте около 1 м. Этот звонок необходим в чрезвычайных случаях, когда человек нуждается в экстренной помощи (случайное падение человека с коляски, откат коляски от унитаза на недоступное расстояние, падение костыля и т.п.).</w:t>
      </w:r>
    </w:p>
    <w:p w14:paraId="26FB3607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Зеркало в кабинах для людей с инвалидностью может менять угол наклона с помощью рычага.</w:t>
      </w:r>
    </w:p>
    <w:p w14:paraId="0E54722E" w14:textId="565FD956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noProof/>
          <w:color w:val="2A2C32"/>
          <w:spacing w:val="3"/>
        </w:rPr>
        <w:lastRenderedPageBreak/>
        <w:drawing>
          <wp:inline distT="0" distB="0" distL="0" distR="0" wp14:anchorId="1C913748" wp14:editId="772B621D">
            <wp:extent cx="5457825" cy="36099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0F69D" w14:textId="36219A2D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</w:p>
    <w:p w14:paraId="092BDF89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Перемещение по этажам здания.</w:t>
      </w:r>
    </w:p>
    <w:p w14:paraId="732B3759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 xml:space="preserve">Для перемещения между этажами лучше всего подходит лифт. Важно проследить, </w:t>
      </w:r>
      <w:proofErr w:type="gramStart"/>
      <w:r>
        <w:rPr>
          <w:rFonts w:ascii="Arial" w:hAnsi="Arial" w:cs="Arial"/>
          <w:color w:val="2A2C32"/>
          <w:spacing w:val="3"/>
        </w:rPr>
        <w:t>что бы</w:t>
      </w:r>
      <w:proofErr w:type="gramEnd"/>
      <w:r>
        <w:rPr>
          <w:rFonts w:ascii="Arial" w:hAnsi="Arial" w:cs="Arial"/>
          <w:color w:val="2A2C32"/>
          <w:spacing w:val="3"/>
        </w:rPr>
        <w:t xml:space="preserve"> чтобы ширина проема двери и глубина лифта соответствовали габаритам инвалидной коляски (средний размер коляски 0,8 м на 0,9 м), а также, чтобы при остановке разница между полом лифта и холла не превышала 0,025 м.</w:t>
      </w:r>
    </w:p>
    <w:p w14:paraId="5BF75475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Если в здании нет лифта, то, в зависимости от ситуации, либо устанавливается пандус (соответствующий нормам из предыдущего раздела), либо устанавливается электрический подъемник.</w:t>
      </w:r>
    </w:p>
    <w:p w14:paraId="3A6FE18C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Электрический подъемник – это вертикальная подъемная платформа. Он позволяет перемещать людей, пользующихся инвалидной коляской, с одного уровня на другой, не затрудняя передвижение по лестнице других людей.</w:t>
      </w:r>
    </w:p>
    <w:p w14:paraId="712C97EA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Принцип действия:</w:t>
      </w:r>
    </w:p>
    <w:p w14:paraId="56CCE6F7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С помощью кнопок управления платформа приходит в действие, и она начинает двигаться вверх или вниз по направляющим, установленным на стене. После подъема освободившейся платформы могут откидываться к стене).</w:t>
      </w:r>
    </w:p>
    <w:p w14:paraId="42247355" w14:textId="0D39FB6F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noProof/>
        </w:rPr>
        <w:lastRenderedPageBreak/>
        <w:drawing>
          <wp:inline distT="0" distB="0" distL="0" distR="0" wp14:anchorId="6B6FAF5F" wp14:editId="16CE8E68">
            <wp:extent cx="5940425" cy="2835275"/>
            <wp:effectExtent l="0" t="0" r="317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3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5816B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Интерьер.</w:t>
      </w:r>
    </w:p>
    <w:p w14:paraId="7092CC12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Помещения также должны быть адаптированы для всех категорий людей. Пути движения и проходы между стеллажами и торговым оборудованием должны обеспечивать возможность прохода маломобильных людей, в том числе и передвигающихся на колясках.</w:t>
      </w:r>
    </w:p>
    <w:p w14:paraId="4AABC573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При подборе и расстановке оборудования, размещении продукции и в интерьерных решениях следует исходить из того, что зона досягаемости для человека на коляске должна находиться в пределах (Рис. 12):</w:t>
      </w:r>
    </w:p>
    <w:p w14:paraId="3AC2B0CF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- при расположении сбоку - не выше 1,4 м и не ниже 0,3 м от пола</w:t>
      </w:r>
    </w:p>
    <w:p w14:paraId="5A05BB7B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- при фронтальном подходе - не выше 1,2 м и не ниже 0,4 м</w:t>
      </w:r>
    </w:p>
    <w:p w14:paraId="046F8807" w14:textId="07CF841E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noProof/>
        </w:rPr>
        <w:lastRenderedPageBreak/>
        <w:drawing>
          <wp:inline distT="0" distB="0" distL="0" distR="0" wp14:anchorId="1F52F24C" wp14:editId="2CCB8B45">
            <wp:extent cx="5591175" cy="41624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C14FE" w14:textId="4D8E208D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</w:p>
    <w:p w14:paraId="51017D11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Прилегающая территория. Вход в здание. Перемещение внутри здания.</w:t>
      </w:r>
    </w:p>
    <w:p w14:paraId="4127D7C8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Вход в здание должен быть беспрепятственным для самостоятельного доступа человека с инвалидностью.</w:t>
      </w:r>
    </w:p>
    <w:p w14:paraId="308DEEFF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Для людей на колясках при передвижении основным препятствием являются бордюрные камни, лестницы и высокие пороги. Они не позволяют без посторонней помощи преодолеть препятствие.</w:t>
      </w:r>
    </w:p>
    <w:p w14:paraId="50167039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 xml:space="preserve">Для преодоления этих препятствий понижаются бордюрные камни или устанавливаются пандусы. Съезд </w:t>
      </w:r>
      <w:proofErr w:type="gramStart"/>
      <w:r>
        <w:rPr>
          <w:rFonts w:ascii="Arial" w:hAnsi="Arial" w:cs="Arial"/>
          <w:color w:val="2A2C32"/>
          <w:spacing w:val="3"/>
        </w:rPr>
        <w:t>- это</w:t>
      </w:r>
      <w:proofErr w:type="gramEnd"/>
      <w:r>
        <w:rPr>
          <w:rFonts w:ascii="Arial" w:hAnsi="Arial" w:cs="Arial"/>
          <w:color w:val="2A2C32"/>
          <w:spacing w:val="3"/>
        </w:rPr>
        <w:t xml:space="preserve"> мини-пандус. (рис. 6)</w:t>
      </w:r>
    </w:p>
    <w:p w14:paraId="07DC0E68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Пандус – это наклонная поверхность для вертикального перемещения людей на колясках. (Рис.7)</w:t>
      </w:r>
    </w:p>
    <w:p w14:paraId="6083979D" w14:textId="20215B23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</w:p>
    <w:p w14:paraId="3AB21FC3" w14:textId="4FB81DA6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noProof/>
        </w:rPr>
        <w:lastRenderedPageBreak/>
        <w:drawing>
          <wp:inline distT="0" distB="0" distL="0" distR="0" wp14:anchorId="2B63FE0E" wp14:editId="1BCE2D9A">
            <wp:extent cx="5940425" cy="262953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2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645B0" w14:textId="39BC6FB8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</w:p>
    <w:p w14:paraId="0D16A636" w14:textId="548AC639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Для человека с нарушением опорно-двигательного аппарата самым сложным в преодолении лестницы является: при подъеме вверх - последняя верхняя ступенька лестничного марша, при спуске вниз - последняя нижняя ступенька. (рис.4). При спуске ситуация аналогичная. Если лестничные перила не имеют дополнительные участки по 0,3 м, как показано на рисунке, то некоторым людям с инвалидностью может понадобится Ваша помощь.</w:t>
      </w:r>
    </w:p>
    <w:p w14:paraId="76DF50F4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noProof/>
        </w:rPr>
        <w:drawing>
          <wp:inline distT="0" distB="0" distL="0" distR="0" wp14:anchorId="3DD3E339" wp14:editId="3295C75A">
            <wp:extent cx="3676650" cy="29337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A2C32"/>
          <w:spacing w:val="3"/>
        </w:rPr>
        <w:t>Для людей с инвалидностью по слуху, как и для людей с ограничениями зрения, основной проблемой является информативность. Для самостоятельного передвижения им помогут:</w:t>
      </w:r>
    </w:p>
    <w:p w14:paraId="70319274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Указатели и знаки, в том числе световые (Рис. 2 и 3)</w:t>
      </w:r>
    </w:p>
    <w:p w14:paraId="38CC690C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Разметка и цвет элементов (Рис. 9)</w:t>
      </w:r>
    </w:p>
    <w:p w14:paraId="14E6C369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Щиты, стенды, табло с основной информацией (Рис. 10)</w:t>
      </w:r>
    </w:p>
    <w:p w14:paraId="73E342A5" w14:textId="15777696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Световые и звуковые маяки (Рис. 11)</w:t>
      </w:r>
    </w:p>
    <w:p w14:paraId="230D19E8" w14:textId="42A7177B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noProof/>
        </w:rPr>
        <w:lastRenderedPageBreak/>
        <w:drawing>
          <wp:inline distT="0" distB="0" distL="0" distR="0" wp14:anchorId="1DDB60A3" wp14:editId="644192BC">
            <wp:extent cx="5940425" cy="236918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6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C93B7" w14:textId="71FB98A3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</w:p>
    <w:p w14:paraId="455BCEA0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Для того, чтобы предупредить незрячих людей о начале и о конце лестничного пролета по краю первой и последней ступенек (на всю ширину ступени) выполнена контрастная полоса ярко-желтого, как показано на рисунке 9 или белого цвета с рельефными узкими полосками.</w:t>
      </w:r>
    </w:p>
    <w:p w14:paraId="6E12ACCF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Необходимо, чтобы на дорогах и в здании были специальные рельефные направляющие, которые могли бы указывать направление движения. Это существенно облегчит ориентировку незрячего человека. Направляющие, как и края тротуаров и дорог, выкрашены в контрастный (белый или желтый) цвет. (Рис. 9)</w:t>
      </w:r>
    </w:p>
    <w:p w14:paraId="5D7C757D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Вдоль стен коридоров здания должны быть установлены направляющие на высоте от 0,7 м и отступом от стены около 0,1 м. (Рис. 9а)</w:t>
      </w:r>
    </w:p>
    <w:p w14:paraId="5C1B9827" w14:textId="5EB413A6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noProof/>
        </w:rPr>
        <w:drawing>
          <wp:inline distT="0" distB="0" distL="0" distR="0" wp14:anchorId="04DC0D08" wp14:editId="4882D862">
            <wp:extent cx="5940425" cy="308927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ACB0B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О приближении к препятствиям не менее чем за 0,8 предупреждает изменение фактуры покрытия дорожек и тротуаров. (Рис. 9б)</w:t>
      </w:r>
    </w:p>
    <w:p w14:paraId="5B0C3A43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lastRenderedPageBreak/>
        <w:t>Контрастным цветом обозначены двери в общественных учреждений (Рис. 9в)</w:t>
      </w:r>
    </w:p>
    <w:p w14:paraId="3D62A9C3" w14:textId="0D176B3F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</w:p>
    <w:p w14:paraId="5679F55A" w14:textId="74995BB9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noProof/>
        </w:rPr>
        <w:drawing>
          <wp:inline distT="0" distB="0" distL="0" distR="0" wp14:anchorId="66167DB7" wp14:editId="55464601">
            <wp:extent cx="5940425" cy="3550285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5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4F5FB" w14:textId="2BED6E95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</w:p>
    <w:p w14:paraId="4EB82025" w14:textId="67992AA6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Любая текстовая информация, дублируется на азбуке Брайля и размещается в строго определенных местах так, чтобы человек с проблемами зрения всегда имел представление о том, где она находится. Также она должна быть доступна для рук невидящего, в том числе по высоте размещения. (Рис 10 а)</w:t>
      </w:r>
    </w:p>
    <w:p w14:paraId="7A061757" w14:textId="5F56E2F6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noProof/>
        </w:rPr>
        <w:lastRenderedPageBreak/>
        <w:drawing>
          <wp:inline distT="0" distB="0" distL="0" distR="0" wp14:anchorId="63392875" wp14:editId="15516C03">
            <wp:extent cx="4267200" cy="35528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A2C32"/>
          <w:spacing w:val="3"/>
        </w:rPr>
        <w:t>Надписи номеров этажей на кнопках в лифтах должны быть выпуклыми и желательно дублироваться на азбуке Брайля (Рис 10 б).</w:t>
      </w:r>
    </w:p>
    <w:p w14:paraId="234DE630" w14:textId="019B6A4E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noProof/>
        </w:rPr>
        <w:drawing>
          <wp:inline distT="0" distB="0" distL="0" distR="0" wp14:anchorId="5EF468CB" wp14:editId="1F69C52A">
            <wp:extent cx="4638675" cy="364807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27F6A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Системы пожарной тревоги со звуковым сигналом должны дублироваться световым обозначением.</w:t>
      </w:r>
    </w:p>
    <w:p w14:paraId="726EE0B1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rFonts w:ascii="Arial" w:hAnsi="Arial" w:cs="Arial"/>
          <w:color w:val="2A2C32"/>
          <w:spacing w:val="3"/>
        </w:rPr>
        <w:t>Для того, чтобы обеспечить беспрепятственное и свободное передвижение человека на коляске внутри здания внутри здания не делают порогов выше 0,015 м. Все дверные проемы и все проходы в здании не меньше 0,9 м.</w:t>
      </w:r>
    </w:p>
    <w:p w14:paraId="4249E0CB" w14:textId="5577475B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noProof/>
        </w:rPr>
        <w:lastRenderedPageBreak/>
        <w:drawing>
          <wp:inline distT="0" distB="0" distL="0" distR="0" wp14:anchorId="288F1F53" wp14:editId="44824AAA">
            <wp:extent cx="5940425" cy="867283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7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9419A" w14:textId="125A2FC3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</w:p>
    <w:p w14:paraId="28E6FDD2" w14:textId="10468212" w:rsidR="00C55E4E" w:rsidRDefault="00C55E4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noProof/>
        </w:rPr>
        <w:lastRenderedPageBreak/>
        <w:drawing>
          <wp:inline distT="0" distB="0" distL="0" distR="0" wp14:anchorId="012671C2" wp14:editId="7BF20F6B">
            <wp:extent cx="5940425" cy="8182610"/>
            <wp:effectExtent l="0" t="0" r="3175" b="889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8AC4D" w14:textId="4084302C" w:rsidR="00C55E4E" w:rsidRDefault="00C55E4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noProof/>
        </w:rPr>
        <w:lastRenderedPageBreak/>
        <w:drawing>
          <wp:inline distT="0" distB="0" distL="0" distR="0" wp14:anchorId="5B7B7E18" wp14:editId="32230E7A">
            <wp:extent cx="5940425" cy="8169910"/>
            <wp:effectExtent l="0" t="0" r="3175" b="254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08AA8" w14:textId="13F43C21" w:rsidR="00C55E4E" w:rsidRDefault="00C55E4E" w:rsidP="0021486E">
      <w:pPr>
        <w:pStyle w:val="a3"/>
        <w:rPr>
          <w:rFonts w:ascii="Arial" w:hAnsi="Arial" w:cs="Arial"/>
          <w:color w:val="2A2C32"/>
          <w:spacing w:val="3"/>
        </w:rPr>
      </w:pPr>
    </w:p>
    <w:p w14:paraId="1BB38373" w14:textId="50C694DD" w:rsidR="00C55E4E" w:rsidRDefault="00C55E4E" w:rsidP="0021486E">
      <w:pPr>
        <w:pStyle w:val="a3"/>
        <w:rPr>
          <w:rFonts w:ascii="Arial" w:hAnsi="Arial" w:cs="Arial"/>
          <w:color w:val="2A2C32"/>
          <w:spacing w:val="3"/>
        </w:rPr>
      </w:pPr>
    </w:p>
    <w:p w14:paraId="6D49C410" w14:textId="41F39B97" w:rsidR="00C55E4E" w:rsidRDefault="00C55E4E" w:rsidP="0021486E">
      <w:pPr>
        <w:pStyle w:val="a3"/>
        <w:rPr>
          <w:rFonts w:ascii="Arial" w:hAnsi="Arial" w:cs="Arial"/>
          <w:color w:val="2A2C32"/>
          <w:spacing w:val="3"/>
        </w:rPr>
      </w:pPr>
    </w:p>
    <w:p w14:paraId="39A4BA69" w14:textId="7F901DB7" w:rsidR="00C55E4E" w:rsidRDefault="00C55E4E" w:rsidP="0021486E">
      <w:pPr>
        <w:pStyle w:val="a3"/>
        <w:rPr>
          <w:rFonts w:ascii="Arial" w:hAnsi="Arial" w:cs="Arial"/>
          <w:color w:val="2A2C32"/>
          <w:spacing w:val="3"/>
        </w:rPr>
      </w:pPr>
    </w:p>
    <w:p w14:paraId="56D0F1EF" w14:textId="77777777" w:rsidR="00C55E4E" w:rsidRDefault="00C55E4E" w:rsidP="0021486E">
      <w:pPr>
        <w:pStyle w:val="a3"/>
        <w:rPr>
          <w:rFonts w:ascii="Arial" w:hAnsi="Arial" w:cs="Arial"/>
          <w:color w:val="2A2C32"/>
          <w:spacing w:val="3"/>
        </w:rPr>
      </w:pPr>
    </w:p>
    <w:p w14:paraId="0A220FA6" w14:textId="3BD326DE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  <w:r>
        <w:rPr>
          <w:noProof/>
        </w:rPr>
        <w:drawing>
          <wp:inline distT="0" distB="0" distL="0" distR="0" wp14:anchorId="797ECC9F" wp14:editId="120A8090">
            <wp:extent cx="5940425" cy="8036560"/>
            <wp:effectExtent l="0" t="0" r="3175" b="254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3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EE07A" w14:textId="77777777" w:rsidR="0021486E" w:rsidRDefault="0021486E" w:rsidP="0021486E">
      <w:pPr>
        <w:pStyle w:val="a3"/>
        <w:rPr>
          <w:rFonts w:ascii="Arial" w:hAnsi="Arial" w:cs="Arial"/>
          <w:color w:val="2A2C32"/>
          <w:spacing w:val="3"/>
        </w:rPr>
      </w:pPr>
    </w:p>
    <w:p w14:paraId="076AB2E4" w14:textId="09ED6AA8" w:rsidR="00BE6049" w:rsidRDefault="0021486E">
      <w:r>
        <w:rPr>
          <w:noProof/>
        </w:rPr>
        <w:lastRenderedPageBreak/>
        <w:drawing>
          <wp:inline distT="0" distB="0" distL="0" distR="0" wp14:anchorId="421D7CA6" wp14:editId="64B8359B">
            <wp:extent cx="5940425" cy="787781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7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15F5B" w14:textId="3F542C55" w:rsidR="0021486E" w:rsidRDefault="0021486E"/>
    <w:p w14:paraId="1B357F8A" w14:textId="6E6A8F9F" w:rsidR="0021486E" w:rsidRDefault="0021486E"/>
    <w:p w14:paraId="0914B356" w14:textId="7A30A55B" w:rsidR="0021486E" w:rsidRDefault="0021486E"/>
    <w:p w14:paraId="3744A053" w14:textId="5EC76B30" w:rsidR="0021486E" w:rsidRDefault="0021486E"/>
    <w:p w14:paraId="236804E1" w14:textId="77777777" w:rsidR="0021486E" w:rsidRDefault="0021486E"/>
    <w:sectPr w:rsidR="00214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86E"/>
    <w:rsid w:val="0021486E"/>
    <w:rsid w:val="00BE6049"/>
    <w:rsid w:val="00C5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2B418"/>
  <w15:chartTrackingRefBased/>
  <w15:docId w15:val="{E9D8525E-3C0A-41E1-B295-64CC3AE87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4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16</Pages>
  <Words>1468</Words>
  <Characters>8371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2023-02-13T09:37:00Z</dcterms:created>
  <dcterms:modified xsi:type="dcterms:W3CDTF">2023-02-13T09:51:00Z</dcterms:modified>
</cp:coreProperties>
</file>